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10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QUANTRAZ INC. — T2 FY 2024-25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Confidence Assessment &amp; Risk Analysis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Workbook v9.1 | Net Loss: ($46,372.81) | Prepared: March 15, 2026</w:t>
      </w:r>
    </w:p>
    <w:p>
      <w:pPr>
        <w:spacing w:after="30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Color coding: Green (90%+) = High confidence | Yellow (80-89%) = Review recommended | Red (&lt;80%) = CPA decision needed</w:t>
      </w:r>
    </w:p>
    <w:p>
      <w:pPr>
        <w:pStyle w:val="Heading1"/>
        <w:spacing w:before="320" w:after="180"/>
      </w:pPr>
      <w:r>
        <w:rPr>
          <w:rFonts w:ascii="Calibri" w:cs="Calibri" w:eastAsia="Calibri" w:hAnsi="Calibri"/>
          <w:b/>
          <w:bCs/>
          <w:color w:val="1F3864"/>
          <w:sz w:val="28"/>
          <w:szCs w:val="28"/>
        </w:rPr>
        <w:t xml:space="preserve">1. Overall Confidence: 89%</w:t>
      </w:r>
    </w:p>
    <w:p>
      <w:pPr>
        <w:spacing w:before="80" w:after="80"/>
      </w:pPr>
      <w:r>
        <w:rPr>
          <w:rFonts w:ascii="Calibri" w:cs="Calibri" w:eastAsia="Calibri" w:hAnsi="Calibri"/>
          <w:sz w:val="22"/>
          <w:szCs w:val="22"/>
        </w:rPr>
        <w:t xml:space="preserve">Weighted by dollar amount of each category. The return is defensible. Even under a worst-case CRA audit scenario removing all aggressive items, the loss remains $42,245 with zero tax.</w:t>
      </w:r>
    </w:p>
    <w:p>
      <w:pPr>
        <w:pStyle w:val="Heading1"/>
        <w:spacing w:before="320" w:after="180"/>
      </w:pPr>
      <w:r>
        <w:rPr>
          <w:rFonts w:ascii="Calibri" w:cs="Calibri" w:eastAsia="Calibri" w:hAnsi="Calibri"/>
          <w:b/>
          <w:bCs/>
          <w:color w:val="1F3864"/>
          <w:sz w:val="28"/>
          <w:szCs w:val="28"/>
        </w:rPr>
        <w:t xml:space="preserve">2. Confidence by Category</w:t>
      </w:r>
    </w:p>
    <w:tbl>
      <w:tblPr>
        <w:tblW w:type="pct" w:w="100%"/>
        <w:tblBorders>
          <w:top w:val="single" w:color="D9D9D9" w:sz="1"/>
          <w:left w:val="single" w:color="D9D9D9" w:sz="1"/>
          <w:bottom w:val="single" w:color="D9D9D9" w:sz="1"/>
          <w:right w:val="single" w:color="D9D9D9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Category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Amount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Conf.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Primary Source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Key Risk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REVENUE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$9,454.69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98%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QCH bank deposits + invoices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Minimal — all deposits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COGS — Synegix/SEDA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$2,664.00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Invoice SGT2510 + QCH deposit + cash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GST/PST paid in cash — invoice confirms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COGS — Alibaba books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$2,416.68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PayPal + Alibaba receipts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PayPal overlap checked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COGS — Bambulab (on cards)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$2,733.37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QCC export + PayPal matched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Card + PayPal cross-verified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COGS — Bambulab (7 missing)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$1,316.91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Vendor order history only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 card match — PCL gap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COGS — Cricut machines+supplies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$2,347.83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Cricut order history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 card match — PCL gap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COGS — Epson ET-8550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$781.72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100%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Best Buy invoice + PCL *1014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Fully documented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COGS — Epson F170 sublimation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$668.05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Rubenstein RB Digital invoice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Payment source unknown (Shopify checkout)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Replit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$454.70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PCL *1014 export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Card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Shopify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$813.22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PayPal PreApproved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PayPal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Apple/App Store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$616.79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QCL *7010 export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Includes Cricut Design Space $14.42/mo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Google Workspace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$614.79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QCC + QCL + Walmart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Split across 3 cards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ChatGPT/OpenAI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$348.54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QCL *7010 export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Card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GoDaddy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$262.28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PayPal confirmed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 payments matched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ElevenLabs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$115.67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QCL *7010 export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Card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WonderIdea/AnyFlip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$187.00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QCL + PayPal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Cross-verified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InVideo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$135.25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Invoices + *7254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Double-count corrected. Cancelled Feb 2025.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Subscriptions — Other small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$168.54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88%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Various cards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Thangs, Hostinger, Clerky, etc.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Professional Fees — Atritex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$2,466.19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92%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PayPal + QCH + QCL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 payments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Professional Fees — Upwork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$1,197.90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PayPal + Upwork CSV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Cross-verified with Upwork report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Professional Fees — Karun CPA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$1,332.00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PCH → user confirmed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Paid from personal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Meals &amp; Entertainment (50%)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$742.73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82%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QCL + PCL + MBNA + PayPal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Some PCL items may be personal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Business Development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$1,331.12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PCL + MBNA + QCL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Folkfest/Solar Gardens could be questioned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Travel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$806.63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92%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PCL + QCC + MBNA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Air Canada, Travelodge, BLS confirmed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D9D9D9" w:sz="1"/>
          <w:left w:val="single" w:color="D9D9D9" w:sz="1"/>
          <w:bottom w:val="single" w:color="D9D9D9" w:sz="1"/>
          <w:right w:val="single" w:color="D9D9D9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Category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Amount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Conf.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Primary Source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Key Risk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Supplies — Amazon business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$7,267.18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Amazon CSV (258 items)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Item-by-item categorization. Some borderline.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Supplies — Smart Home R&amp;D (50%)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$1,680.56</w:t>
            </w:r>
          </w:p>
        </w:tc>
        <w:tc>
          <w:tcPr>
            <w:shd w:color="FCE4E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75%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Amazon CSV + user confirmed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CRA may challenge R&amp;D vs personal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Supplies — IKEA office furniture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$743.14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MBNA statement + user confirmed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 itemized receipt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Supplies — Costco (30%)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$1,704.00</w:t>
            </w:r>
          </w:p>
        </w:tc>
        <w:tc>
          <w:tcPr>
            <w:shd w:color="FCE4E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70%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MBNA statements, blanket 30%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 itemized receipts. Highest risk.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Supplies — Honda Pilot parts (80%)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$457.64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Amazon CSV + user confirmed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confirmed for business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Supplies — Karaoke (events)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$83.81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Amazon CSV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User says roadshows. Keep receipt.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Supplies — Other (Homesense, etc.)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$47.64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MBNA + PCL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Small amounts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Shipping — Canada Post + Mamo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$206.21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QCL + *7254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Card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Phone — Rogers mobile (2 lines)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$2,416.92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88%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Rogers PDF bills (all months)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Some months may vary slightly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Phone — Rogers Internet (20%)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$350.42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Rogers bills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Actual bills used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Home Office — Mortgage interest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$2,046.67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STEP annual statement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20% of $10,233.33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Home Office — Condo fees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$984.00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Consistent $410/mo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Verified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Home Office — Property tax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$748.80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Annual assessment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Verified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Home Office — SGI home insurance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$328.51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PCH statements, some estimated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May-Aug partially estimated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Home Office — SaskEnergy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$240.00</w:t>
            </w:r>
          </w:p>
        </w:tc>
        <w:tc>
          <w:tcPr>
            <w:shd w:color="FCE4E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60%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ESTIMATED $100/mo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 actual bills. Lowest confidence item.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Home Office — Beierle Plumbing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$221.45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PCH statement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Furnace repair, 20% claimed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Home Office — Internet + Ring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$357.08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Rogers bills + PCL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Actual bills used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CCA Class 10.1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$5,400.00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100%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Calculated from $36,000 cap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Standard CRA formula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SGI auto insurance (80%)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$1,162.22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PCH + MBNA, some estimated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May-Aug estimated from adjacent months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SGI Auto Pack/Plate (80%)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$768.72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MBNA + PCL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Most months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STEP loan interest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$525.47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Calculated from 4.10% rate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 months (Oct-Jan) before Subaru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CCA Class 8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$147.00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100%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Standard calculation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Fridge $970 + couch $500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TCCI interest (3 pmts)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$107.44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Calculated from 3.99% daily rate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Contract verified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Fuel (Co-op + Costco 80%)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$265.82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PCL + MBNA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Card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Honda Pilot ins Oct (80%)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$84.96</w:t>
            </w:r>
          </w:p>
        </w:tc>
        <w:tc>
          <w:tcPr>
            <w:shd w:color="FFF2C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PCH statement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One month only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Vehicle — Pristine Car Wash (80%)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$9.60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PCL card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Trivial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Interest — QCL credit line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$835.20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QCL export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Monthly charges confirmed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Interest — QCH bank charges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$130.35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QCH statements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Full year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Interest — QCC annual fee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$79.00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100%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QCC export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One-time charge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Interest — MBNA int+fees (60%)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$108.96</w:t>
            </w:r>
          </w:p>
        </w:tc>
        <w:tc>
          <w:tcPr>
            <w:shd w:color="FCE4EC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75%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MBNA statements, 60% est.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Business ratio is judgment call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Interest — Other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$6.34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Various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Cash advance fee, overdraft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IP — Patent ×2 (Receiver General)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$469.80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100%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QCH cheques confirmed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Government receipt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IP — CIPO Copyright ×2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$126.00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CIPO email receipts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Both receipts on file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IP — Corporations Canada annual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$12.00</w:t>
            </w:r>
          </w:p>
        </w:tc>
        <w:tc>
          <w:tcPr>
            <w:shd w:color="E2EFDA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Receipt on file (*7027)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Old card number</w:t>
            </w:r>
          </w:p>
        </w:tc>
      </w:tr>
    </w:tbl>
    <w:p>
      <w:r>
        <w:br w:type="page"/>
      </w:r>
    </w:p>
    <w:p>
      <w:pPr>
        <w:pStyle w:val="Heading1"/>
        <w:spacing w:before="320" w:after="180"/>
      </w:pPr>
      <w:r>
        <w:rPr>
          <w:rFonts w:ascii="Calibri" w:cs="Calibri" w:eastAsia="Calibri" w:hAnsi="Calibri"/>
          <w:b/>
          <w:bCs/>
          <w:color w:val="1F3864"/>
          <w:sz w:val="28"/>
          <w:szCs w:val="28"/>
        </w:rPr>
        <w:t xml:space="preserve">3. Risk Scenarios</w:t>
      </w:r>
    </w:p>
    <w:p>
      <w:pPr>
        <w:pStyle w:val="Heading2"/>
        <w:spacing w:before="260" w:after="140"/>
      </w:pPr>
      <w:r>
        <w:rPr>
          <w:rFonts w:ascii="Calibri" w:cs="Calibri" w:eastAsia="Calibri" w:hAnsi="Calibri"/>
          <w:b/>
          <w:bCs/>
          <w:color w:val="4472C4"/>
          <w:sz w:val="24"/>
          <w:szCs w:val="24"/>
        </w:rPr>
        <w:t xml:space="preserve">3.1 — Best Case (all items accepted)</w:t>
      </w:r>
    </w:p>
    <w:tbl>
      <w:tblPr>
        <w:tblW w:type="pct" w:w="60%"/>
        <w:tblBorders>
          <w:top w:val="single" w:color="D9D9D9" w:sz="1"/>
          <w:left w:val="single" w:color="D9D9D9" w:sz="1"/>
          <w:bottom w:val="single" w:color="D9D9D9" w:sz="1"/>
          <w:right w:val="single" w:color="D9D9D9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Scenario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Net Loss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v9.1 as filed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($46,372.81)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+ QCH unidentified debits (~$200)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($46,573)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+ PCL Oct-Jul unknowns (~$500)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($47,073)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+ SaskEnergy actual (if higher)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($47,133)</w:t>
            </w:r>
          </w:p>
        </w:tc>
      </w:tr>
    </w:tbl>
    <w:p>
      <w:pPr>
        <w:pStyle w:val="Heading2"/>
        <w:spacing w:before="260" w:after="140"/>
      </w:pPr>
      <w:r>
        <w:rPr>
          <w:rFonts w:ascii="Calibri" w:cs="Calibri" w:eastAsia="Calibri" w:hAnsi="Calibri"/>
          <w:b/>
          <w:bCs/>
          <w:color w:val="4472C4"/>
          <w:sz w:val="24"/>
          <w:szCs w:val="24"/>
        </w:rPr>
        <w:t xml:space="preserve">3.2 — Expected Case (CRA accepts most items)</w:t>
      </w:r>
    </w:p>
    <w:tbl>
      <w:tblPr>
        <w:tblW w:type="pct" w:w="60%"/>
        <w:tblBorders>
          <w:top w:val="single" w:color="D9D9D9" w:sz="1"/>
          <w:left w:val="single" w:color="D9D9D9" w:sz="1"/>
          <w:bottom w:val="single" w:color="D9D9D9" w:sz="1"/>
          <w:right w:val="single" w:color="D9D9D9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Scenario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Net Loss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v9.1 as filed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($46,372.81)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CRA reduces Costco to 20% (-$568)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($45,805)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CRA reduces Smart Home to 30% (-$672)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($45,133)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Expected outcome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($45,000 – $46,000)</w:t>
            </w:r>
          </w:p>
        </w:tc>
      </w:tr>
    </w:tbl>
    <w:p>
      <w:pPr>
        <w:pStyle w:val="Heading2"/>
        <w:spacing w:before="260" w:after="140"/>
      </w:pPr>
      <w:r>
        <w:rPr>
          <w:rFonts w:ascii="Calibri" w:cs="Calibri" w:eastAsia="Calibri" w:hAnsi="Calibri"/>
          <w:b/>
          <w:bCs/>
          <w:color w:val="4472C4"/>
          <w:sz w:val="24"/>
          <w:szCs w:val="24"/>
        </w:rPr>
        <w:t xml:space="preserve">3.3 — Worst Case (CRA challenges all aggressive items)</w:t>
      </w:r>
    </w:p>
    <w:tbl>
      <w:tblPr>
        <w:tblW w:type="pct" w:w="60%"/>
        <w:tblBorders>
          <w:top w:val="single" w:color="D9D9D9" w:sz="1"/>
          <w:left w:val="single" w:color="D9D9D9" w:sz="1"/>
          <w:bottom w:val="single" w:color="D9D9D9" w:sz="1"/>
          <w:right w:val="single" w:color="D9D9D9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Item Challenged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Reduction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Costco 30% disallowed entirely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-$1,704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Smart Home R&amp;D 50% disallowed entirely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-$1,681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IKEA $743 reclassified to CCA Class 8 Year 1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-$669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Bambulab 7 orders (no card proof)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-$1,317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Some M&amp;E reclassified as personal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-$200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Folkfest/Solar Gardens as personal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-$32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TOTAL worst case reduction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-$5,603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Worst case net loss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($40,770)</w:t>
            </w:r>
          </w:p>
        </w:tc>
      </w:tr>
    </w:tbl>
    <w:p>
      <w:pPr>
        <w:spacing w:before="80" w:after="80"/>
      </w:pPr>
      <w:r>
        <w:rPr>
          <w:rFonts w:ascii="Calibri" w:cs="Calibri" w:eastAsia="Calibri" w:hAnsi="Calibri"/>
          <w:color w:val="008000"/>
          <w:sz w:val="22"/>
          <w:szCs w:val="22"/>
        </w:rPr>
        <w:t xml:space="preserve">Even worst case: $40,770 loss with zero corporate tax.</w:t>
      </w:r>
    </w:p>
    <w:p>
      <w:pPr>
        <w:spacing w:before="80" w:after="80"/>
      </w:pPr>
      <w:r>
        <w:rPr>
          <w:rFonts w:ascii="Calibri" w:cs="Calibri" w:eastAsia="Calibri" w:hAnsi="Calibri"/>
          <w:sz w:val="22"/>
          <w:szCs w:val="22"/>
        </w:rPr>
        <w:t xml:space="preserve">The risk is not the tax outcome (zero tax regardless). The risk is reduced loss carryforward for future profitable years.</w:t>
      </w:r>
    </w:p>
    <w:p>
      <w:r>
        <w:br w:type="page"/>
      </w:r>
    </w:p>
    <w:p>
      <w:pPr>
        <w:pStyle w:val="Heading1"/>
        <w:spacing w:before="320" w:after="180"/>
      </w:pPr>
      <w:r>
        <w:rPr>
          <w:rFonts w:ascii="Calibri" w:cs="Calibri" w:eastAsia="Calibri" w:hAnsi="Calibri"/>
          <w:b/>
          <w:bCs/>
          <w:color w:val="1F3864"/>
          <w:sz w:val="28"/>
          <w:szCs w:val="28"/>
        </w:rPr>
        <w:t xml:space="preserve">4. Confidence Scale</w:t>
      </w:r>
    </w:p>
    <w:tbl>
      <w:tblPr>
        <w:tblW w:type="pct" w:w="80%"/>
        <w:tblBorders>
          <w:top w:val="single" w:color="D9D9D9" w:sz="1"/>
          <w:left w:val="single" w:color="D9D9D9" w:sz="1"/>
          <w:bottom w:val="single" w:color="D9D9D9" w:sz="1"/>
          <w:right w:val="single" w:color="D9D9D9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Range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Meaning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Action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Color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95-100%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Verified from multiple sources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 action needed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Dark Green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90-94%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Confirmed from one reliable source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 action needed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Green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85-89%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Confirmed source with minor estimation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CPA review if material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Light Green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80-84%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Single source or partial estimation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CPA should review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Yellow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75-79%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Significant estimation or judgment call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CPA decision required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Orange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70-74%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Blanket estimate, no itemization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CPA must approve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Light Red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60-69%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Rough estimate, no supporting docs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Consider removing or obtaining docs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Red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&lt;60%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Not claimed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Excluded from return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N/A</w:t>
            </w:r>
          </w:p>
        </w:tc>
      </w:tr>
    </w:tbl>
    <w:p>
      <w:pPr>
        <w:pStyle w:val="Heading1"/>
        <w:spacing w:before="320" w:after="180"/>
      </w:pPr>
      <w:r>
        <w:rPr>
          <w:rFonts w:ascii="Calibri" w:cs="Calibri" w:eastAsia="Calibri" w:hAnsi="Calibri"/>
          <w:b/>
          <w:bCs/>
          <w:color w:val="1F3864"/>
          <w:sz w:val="28"/>
          <w:szCs w:val="28"/>
        </w:rPr>
        <w:t xml:space="preserve">5. Actions to Improve Confidence</w:t>
      </w:r>
    </w:p>
    <w:tbl>
      <w:tblPr>
        <w:tblW w:type="pct" w:w="100%"/>
        <w:tblBorders>
          <w:top w:val="single" w:color="D9D9D9" w:sz="1"/>
          <w:left w:val="single" w:color="D9D9D9" w:sz="1"/>
          <w:bottom w:val="single" w:color="D9D9D9" w:sz="1"/>
          <w:right w:val="single" w:color="D9D9D9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Item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Current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Action Needed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Target</w:t>
            </w:r>
          </w:p>
        </w:tc>
        <w:tc>
          <w:tcPr>
            <w:shd w:color="1F3864" w:val="solid"/>
          </w:tcPr>
          <w:p>
            <w:pPr>
              <w:spacing w:before="30" w:after="30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Impact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SaskEnergy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Obtain actual 12 monthly bills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±$60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Costco 30%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Separate business receipts from groceries for remainder of FY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±$568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Smart Home R&amp;D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Document specific R&amp;D projects + hours spent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±$672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IKEA furniture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Obtain itemized IKEA receipt from store/email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±$669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SGI May-Aug vehicle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Obtain actual SGI statements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±$50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SGI May-Aug home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Obtain actual SGI statements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±$20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Bambulab 7 orders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Check Bambulab for invoice PDFs with payment method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$0 (just verification)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MBNA 60% ratio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Item-by-item MBNA categorization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90%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±$33</w:t>
            </w:r>
          </w:p>
        </w:tc>
      </w:tr>
      <w:tr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QCH 11 unidentified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N/A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Call Scotiabank for historical statement with descriptions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95%</w:t>
            </w:r>
          </w:p>
        </w:tc>
        <w:tc>
          <w:p>
            <w:pPr>
              <w:spacing w:before="30" w:after="30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+$0-200</w:t>
            </w:r>
          </w:p>
        </w:tc>
      </w:tr>
    </w:tbl>
    <w:p>
      <w:pPr>
        <w:spacing w:before="80"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before="80" w:after="8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Prepared March 15, 2026 | Quantraz Inc. | v9.1 | All figures in Canadian Dollars</w:t>
      </w:r>
    </w:p>
    <w:sectPr>
      <w:pgSz w:w="15840" w:h="122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2026-03-15T03:06:28.228Z</dcterms:created>
  <dcterms:modified xsi:type="dcterms:W3CDTF">2026-03-15T03:06:28.229Z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